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B1" w:rsidRDefault="00297DB1" w:rsidP="00297DB1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97DB1" w:rsidRDefault="00297DB1" w:rsidP="00297DB1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97DB1" w:rsidRDefault="00297DB1" w:rsidP="00297DB1">
      <w:pPr>
        <w:jc w:val="both"/>
        <w:rPr>
          <w:b/>
          <w:sz w:val="28"/>
          <w:szCs w:val="28"/>
        </w:rPr>
      </w:pPr>
    </w:p>
    <w:p w:rsidR="00297DB1" w:rsidRDefault="00297DB1" w:rsidP="00297DB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97DB1" w:rsidRDefault="00297DB1" w:rsidP="00297DB1">
      <w:pPr>
        <w:jc w:val="center"/>
        <w:rPr>
          <w:b/>
          <w:sz w:val="28"/>
          <w:szCs w:val="28"/>
        </w:rPr>
      </w:pPr>
    </w:p>
    <w:p w:rsidR="00297DB1" w:rsidRDefault="00297DB1" w:rsidP="00297D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7DB1" w:rsidRDefault="00297DB1" w:rsidP="00297DB1">
      <w:pPr>
        <w:jc w:val="center"/>
        <w:rPr>
          <w:sz w:val="28"/>
          <w:szCs w:val="28"/>
        </w:rPr>
      </w:pPr>
    </w:p>
    <w:p w:rsidR="00297DB1" w:rsidRDefault="009C01DF" w:rsidP="00297DB1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97DB1">
        <w:rPr>
          <w:sz w:val="28"/>
          <w:szCs w:val="28"/>
        </w:rPr>
        <w:t xml:space="preserve">.12.2021 г.                                                            </w:t>
      </w:r>
      <w:r w:rsidR="004C6788">
        <w:rPr>
          <w:sz w:val="28"/>
          <w:szCs w:val="28"/>
        </w:rPr>
        <w:t xml:space="preserve">                            № 15</w:t>
      </w:r>
    </w:p>
    <w:p w:rsidR="00297DB1" w:rsidRDefault="00297DB1" w:rsidP="00297DB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97DB1" w:rsidRDefault="00297DB1"/>
    <w:p w:rsidR="00297DB1" w:rsidRPr="00297DB1" w:rsidRDefault="00297DB1" w:rsidP="00297DB1"/>
    <w:p w:rsidR="00297DB1" w:rsidRDefault="00297DB1" w:rsidP="00297DB1"/>
    <w:p w:rsidR="00297DB1" w:rsidRDefault="00297DB1" w:rsidP="00297D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поселения в сфере                       архитектуры и градостроительства</w:t>
      </w:r>
    </w:p>
    <w:p w:rsidR="00297DB1" w:rsidRDefault="00297DB1" w:rsidP="00297D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7DB1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статьей 8 Градостроительного кодекса Российской Федерации и части 3 статьи 8 Устава Юбилейного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Юбилейная сельская Дума</w:t>
      </w:r>
      <w:r w:rsidRPr="0016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РЕШИЛА:</w:t>
      </w:r>
    </w:p>
    <w:p w:rsidR="00297DB1" w:rsidRDefault="00297DB1" w:rsidP="00297DB1">
      <w:pPr>
        <w:pStyle w:val="a3"/>
        <w:rPr>
          <w:rFonts w:ascii="Times New Roman" w:hAnsi="Times New Roman"/>
          <w:sz w:val="28"/>
          <w:szCs w:val="28"/>
        </w:rPr>
      </w:pPr>
    </w:p>
    <w:p w:rsidR="00297DB1" w:rsidRPr="007138B9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38B9">
        <w:rPr>
          <w:rFonts w:ascii="Times New Roman" w:hAnsi="Times New Roman"/>
          <w:sz w:val="28"/>
          <w:szCs w:val="28"/>
        </w:rPr>
        <w:t xml:space="preserve">1. Рекомендовать администрации </w:t>
      </w:r>
      <w:r>
        <w:rPr>
          <w:rFonts w:ascii="Times New Roman" w:hAnsi="Times New Roman"/>
          <w:sz w:val="28"/>
          <w:szCs w:val="28"/>
        </w:rPr>
        <w:t xml:space="preserve">Юбилейного сельского </w:t>
      </w:r>
      <w:r w:rsidRPr="007138B9">
        <w:rPr>
          <w:rFonts w:ascii="Times New Roman" w:hAnsi="Times New Roman"/>
          <w:sz w:val="28"/>
          <w:szCs w:val="28"/>
        </w:rPr>
        <w:t>поселения передать осуществление части полномочий поселения в сфере архитект</w:t>
      </w:r>
      <w:r w:rsidR="00B821CB">
        <w:rPr>
          <w:rFonts w:ascii="Times New Roman" w:hAnsi="Times New Roman"/>
          <w:sz w:val="28"/>
          <w:szCs w:val="28"/>
        </w:rPr>
        <w:t xml:space="preserve">уры и градостроительства </w:t>
      </w:r>
      <w:r>
        <w:rPr>
          <w:rFonts w:ascii="Times New Roman" w:hAnsi="Times New Roman"/>
          <w:sz w:val="28"/>
          <w:szCs w:val="28"/>
        </w:rPr>
        <w:t>в 2022</w:t>
      </w:r>
      <w:r w:rsidRPr="007138B9">
        <w:rPr>
          <w:rFonts w:ascii="Times New Roman" w:hAnsi="Times New Roman"/>
          <w:sz w:val="28"/>
          <w:szCs w:val="28"/>
        </w:rPr>
        <w:t xml:space="preserve"> году администрации </w:t>
      </w:r>
      <w:proofErr w:type="spellStart"/>
      <w:r w:rsidRPr="007138B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7138B9">
        <w:rPr>
          <w:rFonts w:ascii="Times New Roman" w:hAnsi="Times New Roman"/>
          <w:sz w:val="28"/>
          <w:szCs w:val="28"/>
        </w:rPr>
        <w:t xml:space="preserve"> района и </w:t>
      </w:r>
      <w:proofErr w:type="gramStart"/>
      <w:r w:rsidRPr="007138B9">
        <w:rPr>
          <w:rFonts w:ascii="Times New Roman" w:hAnsi="Times New Roman"/>
          <w:sz w:val="28"/>
          <w:szCs w:val="28"/>
        </w:rPr>
        <w:t>заключить  соглашение</w:t>
      </w:r>
      <w:proofErr w:type="gramEnd"/>
      <w:r w:rsidRPr="007138B9">
        <w:rPr>
          <w:rFonts w:ascii="Times New Roman" w:hAnsi="Times New Roman"/>
          <w:sz w:val="28"/>
          <w:szCs w:val="28"/>
        </w:rPr>
        <w:t>.</w:t>
      </w:r>
    </w:p>
    <w:p w:rsidR="00297DB1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DB1" w:rsidRPr="007138B9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38B9">
        <w:rPr>
          <w:rFonts w:ascii="Times New Roman" w:hAnsi="Times New Roman"/>
          <w:sz w:val="28"/>
          <w:szCs w:val="28"/>
        </w:rPr>
        <w:t>2. Утвердить финансовый норматив на осуществление части полномочий, указанн</w:t>
      </w:r>
      <w:r w:rsidR="00B821CB">
        <w:rPr>
          <w:rFonts w:ascii="Times New Roman" w:hAnsi="Times New Roman"/>
          <w:sz w:val="28"/>
          <w:szCs w:val="28"/>
        </w:rPr>
        <w:t xml:space="preserve">ых в пункте 1 данного решения, </w:t>
      </w:r>
      <w:r w:rsidRPr="007138B9">
        <w:rPr>
          <w:rFonts w:ascii="Times New Roman" w:hAnsi="Times New Roman"/>
          <w:sz w:val="28"/>
          <w:szCs w:val="28"/>
        </w:rPr>
        <w:t>в размере 0,25.</w:t>
      </w:r>
    </w:p>
    <w:p w:rsidR="00297DB1" w:rsidRPr="007138B9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DB1" w:rsidRPr="007138B9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8B9">
        <w:rPr>
          <w:rFonts w:ascii="Times New Roman" w:hAnsi="Times New Roman"/>
          <w:sz w:val="28"/>
          <w:szCs w:val="28"/>
        </w:rPr>
        <w:t>3. Утвердить Методику расчёта субвенции на осуществление части полномочий поселения в сфере архитек</w:t>
      </w:r>
      <w:r>
        <w:rPr>
          <w:rFonts w:ascii="Times New Roman" w:hAnsi="Times New Roman"/>
          <w:sz w:val="28"/>
          <w:szCs w:val="28"/>
        </w:rPr>
        <w:t>туры и градостроительства в 2022</w:t>
      </w:r>
      <w:r w:rsidRPr="007138B9">
        <w:rPr>
          <w:rFonts w:ascii="Times New Roman" w:hAnsi="Times New Roman"/>
          <w:sz w:val="28"/>
          <w:szCs w:val="28"/>
        </w:rPr>
        <w:t xml:space="preserve"> году. Приложение № 1. Прилагается.</w:t>
      </w:r>
    </w:p>
    <w:p w:rsidR="00297DB1" w:rsidRPr="007138B9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DB1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8B9">
        <w:rPr>
          <w:rFonts w:ascii="Times New Roman" w:hAnsi="Times New Roman"/>
          <w:sz w:val="28"/>
          <w:szCs w:val="28"/>
        </w:rPr>
        <w:t>4. Утвердить расчет средств межбюджетных трансфертов на опл</w:t>
      </w:r>
      <w:r>
        <w:rPr>
          <w:rFonts w:ascii="Times New Roman" w:hAnsi="Times New Roman"/>
          <w:sz w:val="28"/>
          <w:szCs w:val="28"/>
        </w:rPr>
        <w:t>ату переданных полномочий в 2022</w:t>
      </w:r>
      <w:r w:rsidRPr="007138B9">
        <w:rPr>
          <w:rFonts w:ascii="Times New Roman" w:hAnsi="Times New Roman"/>
          <w:sz w:val="28"/>
          <w:szCs w:val="28"/>
        </w:rPr>
        <w:t xml:space="preserve"> году. Приложение № 2. Прилагается.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DB1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DB1" w:rsidRPr="00733FAD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FAD">
        <w:rPr>
          <w:rFonts w:ascii="Times New Roman" w:hAnsi="Times New Roman"/>
          <w:sz w:val="28"/>
          <w:szCs w:val="28"/>
        </w:rPr>
        <w:t>5. Опубликовать настоящее решение в Информ</w:t>
      </w:r>
      <w:r>
        <w:rPr>
          <w:rFonts w:ascii="Times New Roman" w:hAnsi="Times New Roman"/>
          <w:sz w:val="28"/>
          <w:szCs w:val="28"/>
        </w:rPr>
        <w:t>ационном бюллетене.</w:t>
      </w:r>
    </w:p>
    <w:p w:rsidR="00297DB1" w:rsidRDefault="00297DB1" w:rsidP="00297D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97DB1" w:rsidRDefault="00297DB1" w:rsidP="00297D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7DB1" w:rsidRDefault="00297DB1" w:rsidP="00297D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7DB1" w:rsidRDefault="00297DB1" w:rsidP="00297DB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7DB1" w:rsidRPr="00733FAD" w:rsidRDefault="00297DB1" w:rsidP="00297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Юбилейного</w:t>
      </w:r>
    </w:p>
    <w:p w:rsidR="00297DB1" w:rsidRDefault="00297DB1" w:rsidP="00297D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33FA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297DB1" w:rsidRDefault="00297DB1" w:rsidP="00297DB1">
      <w:pPr>
        <w:rPr>
          <w:sz w:val="28"/>
          <w:szCs w:val="28"/>
        </w:rPr>
      </w:pPr>
    </w:p>
    <w:p w:rsidR="00297DB1" w:rsidRDefault="00297DB1" w:rsidP="00297DB1">
      <w:pPr>
        <w:rPr>
          <w:sz w:val="28"/>
          <w:szCs w:val="28"/>
        </w:rPr>
      </w:pPr>
    </w:p>
    <w:p w:rsidR="00297DB1" w:rsidRDefault="00297DB1" w:rsidP="00297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Приложение      № 1</w:t>
      </w:r>
    </w:p>
    <w:p w:rsidR="00297DB1" w:rsidRDefault="00297DB1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Юбилейной </w:t>
      </w:r>
    </w:p>
    <w:p w:rsidR="00297DB1" w:rsidRDefault="00297DB1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сельской Думы</w:t>
      </w:r>
    </w:p>
    <w:p w:rsidR="00297DB1" w:rsidRPr="00995394" w:rsidRDefault="00297DB1" w:rsidP="00297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C01DF">
        <w:rPr>
          <w:sz w:val="28"/>
          <w:szCs w:val="28"/>
        </w:rPr>
        <w:t xml:space="preserve">             </w:t>
      </w:r>
      <w:r w:rsidR="004C6788">
        <w:rPr>
          <w:sz w:val="28"/>
          <w:szCs w:val="28"/>
        </w:rPr>
        <w:t xml:space="preserve">              от 23.12.2020 № 15</w:t>
      </w:r>
      <w:r>
        <w:rPr>
          <w:sz w:val="28"/>
          <w:szCs w:val="28"/>
        </w:rPr>
        <w:t xml:space="preserve">  </w:t>
      </w:r>
    </w:p>
    <w:p w:rsidR="00297DB1" w:rsidRDefault="00297DB1" w:rsidP="00297DB1">
      <w:pPr>
        <w:tabs>
          <w:tab w:val="left" w:pos="6435"/>
        </w:tabs>
        <w:rPr>
          <w:sz w:val="28"/>
          <w:szCs w:val="28"/>
        </w:rPr>
      </w:pPr>
    </w:p>
    <w:p w:rsidR="00297DB1" w:rsidRDefault="00297DB1" w:rsidP="00297DB1">
      <w:pPr>
        <w:rPr>
          <w:sz w:val="28"/>
          <w:szCs w:val="28"/>
        </w:rPr>
      </w:pPr>
    </w:p>
    <w:p w:rsidR="00297DB1" w:rsidRPr="00BA51FD" w:rsidRDefault="00297DB1" w:rsidP="00297DB1">
      <w:pPr>
        <w:jc w:val="center"/>
        <w:rPr>
          <w:rFonts w:eastAsia="Calibri"/>
          <w:b/>
          <w:sz w:val="28"/>
        </w:rPr>
      </w:pPr>
      <w:r>
        <w:rPr>
          <w:sz w:val="28"/>
          <w:szCs w:val="28"/>
        </w:rPr>
        <w:tab/>
      </w:r>
      <w:r w:rsidRPr="00BA51FD">
        <w:rPr>
          <w:rFonts w:eastAsia="Calibri"/>
          <w:b/>
          <w:sz w:val="28"/>
        </w:rPr>
        <w:t>МЕТОДИКА</w:t>
      </w:r>
    </w:p>
    <w:p w:rsidR="00297DB1" w:rsidRPr="00BA51FD" w:rsidRDefault="00297DB1" w:rsidP="00297DB1">
      <w:pPr>
        <w:widowControl w:val="0"/>
        <w:tabs>
          <w:tab w:val="left" w:pos="1275"/>
        </w:tabs>
        <w:suppressAutoHyphens/>
        <w:ind w:firstLine="735"/>
        <w:jc w:val="center"/>
        <w:rPr>
          <w:rFonts w:eastAsia="Andale Sans UI"/>
          <w:kern w:val="2"/>
          <w:sz w:val="28"/>
          <w:szCs w:val="28"/>
          <w:lang w:eastAsia="zh-CN"/>
        </w:rPr>
      </w:pPr>
      <w:r w:rsidRPr="00BA51FD">
        <w:rPr>
          <w:rFonts w:eastAsia="Andale Sans UI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297DB1" w:rsidRDefault="00297DB1" w:rsidP="00297DB1">
      <w:pPr>
        <w:tabs>
          <w:tab w:val="left" w:pos="3956"/>
        </w:tabs>
      </w:pPr>
    </w:p>
    <w:p w:rsidR="00297DB1" w:rsidRPr="00297DB1" w:rsidRDefault="00297DB1" w:rsidP="00297DB1"/>
    <w:p w:rsidR="00297DB1" w:rsidRDefault="00297DB1" w:rsidP="00297DB1"/>
    <w:p w:rsidR="00297DB1" w:rsidRDefault="00297DB1" w:rsidP="00297DB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t xml:space="preserve">     </w:t>
      </w:r>
      <w:r>
        <w:rPr>
          <w:rFonts w:eastAsia="Calibri"/>
          <w:sz w:val="28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4" w:history="1">
        <w:r>
          <w:rPr>
            <w:rStyle w:val="a4"/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5" w:history="1">
        <w:r>
          <w:rPr>
            <w:rStyle w:val="a4"/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eastAsia="Calibri"/>
          <w:sz w:val="28"/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297DB1" w:rsidRDefault="00297DB1" w:rsidP="00297DB1">
      <w:pPr>
        <w:widowControl w:val="0"/>
        <w:tabs>
          <w:tab w:val="left" w:pos="1275"/>
        </w:tabs>
        <w:suppressAutoHyphens/>
        <w:spacing w:line="360" w:lineRule="auto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 xml:space="preserve">      2) Расчет межбюджетных трансфертов на выполнение полномочий производится по формуле:</w:t>
      </w:r>
    </w:p>
    <w:p w:rsidR="00297DB1" w:rsidRDefault="00297DB1" w:rsidP="00297DB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val="en-US"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t>Sb</w:t>
      </w:r>
      <w:proofErr w:type="gramStart"/>
      <w:r>
        <w:rPr>
          <w:rFonts w:eastAsia="Andale Sans UI"/>
          <w:kern w:val="2"/>
          <w:sz w:val="28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/>
            <w:kern w:val="2"/>
            <w:sz w:val="28"/>
            <w:szCs w:val="28"/>
            <w:lang w:eastAsia="zh-CN"/>
          </w:rPr>
          <m:t>хЧнп</m:t>
        </m:r>
      </m:oMath>
      <w:r>
        <w:rPr>
          <w:rFonts w:eastAsia="Andale Sans UI"/>
          <w:kern w:val="2"/>
          <w:sz w:val="28"/>
          <w:szCs w:val="28"/>
          <w:lang w:val="en-US" w:eastAsia="zh-CN"/>
        </w:rPr>
        <w:t xml:space="preserve">, </w:t>
      </w:r>
    </w:p>
    <w:p w:rsidR="00297DB1" w:rsidRDefault="00297DB1" w:rsidP="00297DB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где С</w:t>
      </w:r>
      <w:r>
        <w:rPr>
          <w:rFonts w:eastAsia="Andale Sans UI"/>
          <w:kern w:val="2"/>
          <w:sz w:val="28"/>
          <w:szCs w:val="28"/>
          <w:vertAlign w:val="subscript"/>
          <w:lang w:eastAsia="zh-CN"/>
        </w:rPr>
        <w:t>от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eastAsia="Andale Sans UI"/>
          <w:color w:val="FF0000"/>
          <w:kern w:val="2"/>
          <w:sz w:val="28"/>
          <w:szCs w:val="28"/>
          <w:lang w:eastAsia="zh-CN"/>
        </w:rPr>
        <w:t xml:space="preserve">25418,79 </w:t>
      </w:r>
      <w:r>
        <w:rPr>
          <w:rFonts w:eastAsia="Andale Sans UI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297DB1" w:rsidRDefault="00297DB1" w:rsidP="00297DB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proofErr w:type="spellStart"/>
      <w:r>
        <w:rPr>
          <w:rFonts w:eastAsia="Andale Sans UI"/>
          <w:kern w:val="2"/>
          <w:sz w:val="28"/>
          <w:szCs w:val="28"/>
          <w:lang w:eastAsia="zh-CN"/>
        </w:rPr>
        <w:t>Ч</w:t>
      </w:r>
      <w:r>
        <w:rPr>
          <w:rFonts w:eastAsia="Andale Sans UI"/>
          <w:kern w:val="2"/>
          <w:sz w:val="28"/>
          <w:szCs w:val="28"/>
          <w:vertAlign w:val="subscript"/>
          <w:lang w:eastAsia="zh-CN"/>
        </w:rPr>
        <w:t>нр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– численность постоянного населения </w:t>
      </w:r>
      <w:proofErr w:type="spellStart"/>
      <w:r>
        <w:rPr>
          <w:rFonts w:eastAsia="Andale Sans UI"/>
          <w:kern w:val="2"/>
          <w:sz w:val="28"/>
          <w:szCs w:val="28"/>
          <w:lang w:eastAsia="zh-CN"/>
        </w:rPr>
        <w:t>Котельничского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района по состоянию на 01.01.2021 год (</w:t>
      </w:r>
      <w:r>
        <w:rPr>
          <w:rFonts w:eastAsia="Andale Sans UI"/>
          <w:color w:val="FF0000"/>
          <w:kern w:val="2"/>
          <w:sz w:val="28"/>
          <w:szCs w:val="28"/>
          <w:lang w:eastAsia="zh-CN"/>
        </w:rPr>
        <w:t>11782 чел</w:t>
      </w:r>
      <w:r>
        <w:rPr>
          <w:rFonts w:eastAsia="Andale Sans UI"/>
          <w:kern w:val="2"/>
          <w:sz w:val="28"/>
          <w:szCs w:val="28"/>
          <w:lang w:eastAsia="zh-CN"/>
        </w:rPr>
        <w:t>.);</w:t>
      </w:r>
    </w:p>
    <w:p w:rsidR="00297DB1" w:rsidRDefault="00297DB1" w:rsidP="00297DB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proofErr w:type="spellStart"/>
      <w:r>
        <w:rPr>
          <w:rFonts w:eastAsia="Andale Sans UI"/>
          <w:kern w:val="2"/>
          <w:sz w:val="28"/>
          <w:szCs w:val="28"/>
          <w:lang w:eastAsia="zh-CN"/>
        </w:rPr>
        <w:t>Ч</w:t>
      </w:r>
      <w:r>
        <w:rPr>
          <w:rFonts w:eastAsia="Andale Sans UI"/>
          <w:kern w:val="2"/>
          <w:sz w:val="28"/>
          <w:szCs w:val="28"/>
          <w:vertAlign w:val="subscript"/>
          <w:lang w:eastAsia="zh-CN"/>
        </w:rPr>
        <w:t>нп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>– численность постоянного населения поселения по состоянию на 01.01.2021 год</w:t>
      </w:r>
    </w:p>
    <w:p w:rsidR="00297DB1" w:rsidRDefault="00297DB1" w:rsidP="00297DB1">
      <w:pPr>
        <w:widowControl w:val="0"/>
        <w:tabs>
          <w:tab w:val="left" w:pos="1275"/>
          <w:tab w:val="left" w:pos="2490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t>N</w:t>
      </w:r>
      <w:r w:rsidR="00B821CB">
        <w:rPr>
          <w:rFonts w:eastAsia="Andale Sans UI"/>
          <w:kern w:val="2"/>
          <w:sz w:val="28"/>
          <w:szCs w:val="28"/>
          <w:lang w:eastAsia="zh-CN"/>
        </w:rPr>
        <w:t xml:space="preserve"> –</w:t>
      </w:r>
      <w:r w:rsidR="00B821CB" w:rsidRPr="00000BAD"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>финансовый</w:t>
      </w:r>
      <w:proofErr w:type="gramEnd"/>
      <w:r>
        <w:rPr>
          <w:rFonts w:eastAsia="Andale Sans UI"/>
          <w:kern w:val="2"/>
          <w:sz w:val="28"/>
          <w:szCs w:val="28"/>
          <w:lang w:eastAsia="zh-CN"/>
        </w:rPr>
        <w:t xml:space="preserve"> норматив (0,25)</w:t>
      </w:r>
    </w:p>
    <w:p w:rsidR="00297DB1" w:rsidRDefault="00297DB1" w:rsidP="00297DB1">
      <w:pPr>
        <w:widowControl w:val="0"/>
        <w:tabs>
          <w:tab w:val="left" w:pos="1275"/>
          <w:tab w:val="left" w:pos="2490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t>Sb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</w:p>
    <w:p w:rsidR="00297DB1" w:rsidRDefault="00297DB1" w:rsidP="00297DB1">
      <w:pPr>
        <w:widowControl w:val="0"/>
        <w:tabs>
          <w:tab w:val="left" w:pos="1275"/>
          <w:tab w:val="left" w:pos="2490"/>
        </w:tabs>
        <w:suppressAutoHyphens/>
        <w:spacing w:after="120"/>
        <w:ind w:firstLine="735"/>
        <w:rPr>
          <w:rFonts w:eastAsia="Andale Sans UI"/>
          <w:kern w:val="2"/>
          <w:sz w:val="28"/>
          <w:szCs w:val="28"/>
          <w:lang w:eastAsia="zh-CN"/>
        </w:rPr>
      </w:pPr>
    </w:p>
    <w:p w:rsidR="00297DB1" w:rsidRDefault="00297DB1" w:rsidP="00297DB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_________________________________________________</w:t>
      </w: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297DB1" w:rsidRDefault="00297DB1" w:rsidP="00297DB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к решению Юбилейной</w:t>
      </w:r>
    </w:p>
    <w:p w:rsidR="00297DB1" w:rsidRDefault="00297DB1" w:rsidP="00297DB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сельской Думы</w:t>
      </w:r>
    </w:p>
    <w:p w:rsidR="00297DB1" w:rsidRDefault="00297DB1" w:rsidP="00297DB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  <w:r w:rsidR="009C01DF">
        <w:rPr>
          <w:rFonts w:eastAsia="Calibri"/>
          <w:sz w:val="28"/>
          <w:szCs w:val="28"/>
        </w:rPr>
        <w:t xml:space="preserve">             </w:t>
      </w:r>
      <w:r w:rsidR="004C6788">
        <w:rPr>
          <w:rFonts w:eastAsia="Calibri"/>
          <w:sz w:val="28"/>
          <w:szCs w:val="28"/>
        </w:rPr>
        <w:t xml:space="preserve">              от 23.12.2021 № 15</w:t>
      </w:r>
      <w:bookmarkStart w:id="0" w:name="_GoBack"/>
      <w:bookmarkEnd w:id="0"/>
    </w:p>
    <w:p w:rsidR="00297DB1" w:rsidRDefault="00297DB1" w:rsidP="00297DB1">
      <w:pPr>
        <w:widowControl w:val="0"/>
        <w:tabs>
          <w:tab w:val="left" w:pos="1275"/>
        </w:tabs>
        <w:suppressAutoHyphens/>
        <w:spacing w:after="120"/>
        <w:rPr>
          <w:rFonts w:eastAsia="Andale Sans UI"/>
          <w:kern w:val="2"/>
          <w:sz w:val="28"/>
          <w:szCs w:val="28"/>
          <w:lang w:eastAsia="zh-CN"/>
        </w:rPr>
      </w:pPr>
    </w:p>
    <w:p w:rsidR="00297DB1" w:rsidRDefault="00297DB1" w:rsidP="00297DB1">
      <w:pPr>
        <w:widowControl w:val="0"/>
        <w:tabs>
          <w:tab w:val="left" w:pos="1275"/>
        </w:tabs>
        <w:suppressAutoHyphens/>
        <w:spacing w:after="120"/>
        <w:ind w:firstLine="735"/>
        <w:jc w:val="center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eastAsia="zh-CN"/>
        </w:rPr>
        <w:t>Расчет</w:t>
      </w:r>
    </w:p>
    <w:p w:rsidR="00297DB1" w:rsidRDefault="00297DB1" w:rsidP="00297DB1">
      <w:pPr>
        <w:widowControl w:val="0"/>
        <w:tabs>
          <w:tab w:val="left" w:pos="1275"/>
        </w:tabs>
        <w:suppressAutoHyphens/>
        <w:spacing w:after="120"/>
        <w:ind w:firstLine="735"/>
        <w:jc w:val="center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eastAsia="zh-CN"/>
        </w:rPr>
        <w:t>Средств межбюджетных трансфертов на оплату переданных полномочий в 2022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297DB1" w:rsidTr="00297DB1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Сумма, </w:t>
            </w:r>
          </w:p>
          <w:p w:rsidR="00297DB1" w:rsidRDefault="00297DB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рублей</w:t>
            </w:r>
          </w:p>
        </w:tc>
      </w:tr>
      <w:tr w:rsidR="00297DB1" w:rsidTr="00297DB1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B1" w:rsidRDefault="00297DB1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eastAsia="Andale Sans U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en-US" w:eastAsia="zh-CN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>
              <w:rPr>
                <w:rFonts w:eastAsia="Andale Sans UI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:rsidR="00297DB1" w:rsidRDefault="00297D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 xml:space="preserve">25418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11782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х  1005</m:t>
              </m:r>
            </m:oMath>
            <w:r>
              <w:rPr>
                <w:rFonts w:eastAsia="Calibri"/>
                <w:sz w:val="28"/>
                <w:szCs w:val="28"/>
              </w:rPr>
              <w:t>=542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B1" w:rsidRDefault="00297DB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</w:t>
            </w:r>
          </w:p>
        </w:tc>
      </w:tr>
      <w:tr w:rsidR="00297DB1" w:rsidTr="00297DB1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B1" w:rsidRDefault="00297DB1">
            <w:pPr>
              <w:snapToGri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B1" w:rsidRDefault="00297DB1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</w:t>
            </w:r>
          </w:p>
        </w:tc>
      </w:tr>
    </w:tbl>
    <w:p w:rsidR="00297DB1" w:rsidRDefault="00297DB1" w:rsidP="00297DB1">
      <w:pPr>
        <w:jc w:val="center"/>
        <w:rPr>
          <w:rFonts w:eastAsia="Calibri"/>
          <w:sz w:val="28"/>
          <w:szCs w:val="28"/>
          <w:lang w:eastAsia="en-US"/>
        </w:rPr>
      </w:pPr>
    </w:p>
    <w:p w:rsidR="00297DB1" w:rsidRDefault="00297DB1" w:rsidP="00297DB1">
      <w:pPr>
        <w:jc w:val="center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ind w:firstLine="709"/>
        <w:jc w:val="both"/>
        <w:rPr>
          <w:rFonts w:eastAsia="Calibri"/>
          <w:sz w:val="28"/>
          <w:szCs w:val="28"/>
        </w:rPr>
      </w:pPr>
    </w:p>
    <w:p w:rsidR="00297DB1" w:rsidRDefault="00297DB1" w:rsidP="00297DB1">
      <w:pPr>
        <w:rPr>
          <w:rFonts w:ascii="Calibri" w:eastAsia="Calibri" w:hAnsi="Calibri"/>
          <w:sz w:val="22"/>
          <w:szCs w:val="22"/>
        </w:rPr>
      </w:pPr>
    </w:p>
    <w:p w:rsidR="00297DB1" w:rsidRDefault="00297DB1" w:rsidP="00297DB1">
      <w:pPr>
        <w:rPr>
          <w:rFonts w:asciiTheme="minorHAnsi" w:eastAsiaTheme="minorHAnsi" w:hAnsiTheme="minorHAnsi" w:cstheme="minorBidi"/>
        </w:rPr>
      </w:pPr>
    </w:p>
    <w:p w:rsidR="00DA1EBA" w:rsidRPr="00297DB1" w:rsidRDefault="00DA1EBA" w:rsidP="00297DB1">
      <w:pPr>
        <w:tabs>
          <w:tab w:val="left" w:pos="3007"/>
        </w:tabs>
      </w:pPr>
    </w:p>
    <w:sectPr w:rsidR="00DA1EBA" w:rsidRPr="0029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B1"/>
    <w:rsid w:val="00000BAD"/>
    <w:rsid w:val="00297DB1"/>
    <w:rsid w:val="004C6788"/>
    <w:rsid w:val="009C01DF"/>
    <w:rsid w:val="00B821CB"/>
    <w:rsid w:val="00D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F56D-9F3E-44AB-8F6D-B388D8A0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7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97DB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97D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4" Type="http://schemas.openxmlformats.org/officeDocument/2006/relationships/hyperlink" Target="consultantplus://offline/ref=B12E2D25273CC39F5E3067B3E99074D067119560C6E3DFF292965935A6BD94C189291B3EE032C5576281F9607198D35833BECDF140BEYF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9</cp:revision>
  <dcterms:created xsi:type="dcterms:W3CDTF">2021-11-19T13:52:00Z</dcterms:created>
  <dcterms:modified xsi:type="dcterms:W3CDTF">2021-12-20T12:02:00Z</dcterms:modified>
</cp:coreProperties>
</file>